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F" w:rsidRDefault="003C69B7">
      <w:r w:rsidRPr="003C69B7">
        <w:drawing>
          <wp:inline distT="0" distB="0" distL="0" distR="0">
            <wp:extent cx="4572000" cy="2743200"/>
            <wp:effectExtent l="25400" t="25400" r="0" b="0"/>
            <wp:docPr id="2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E23BF" w:rsidSect="009E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69B7"/>
    <w:rsid w:val="003C69B7"/>
    <w:rsid w:val="004A0EE1"/>
    <w:rsid w:val="006B3092"/>
    <w:rsid w:val="009C3628"/>
    <w:rsid w:val="009E23BF"/>
    <w:rsid w:val="00A941DD"/>
    <w:rsid w:val="00AE1835"/>
    <w:rsid w:val="00D1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9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eme's%20Mac%20Daddy:Users:graemeesau:Documents:Ottawa:(5195C)Foreign%20Aid:Paper:Sta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Real GDP and FDI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Sheet1!$B$99</c:f>
              <c:strCache>
                <c:ptCount val="1"/>
                <c:pt idx="0">
                  <c:v>Real GDP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Sheet1!$A$100:$A$141</c:f>
              <c:numCache>
                <c:formatCode>General</c:formatCode>
                <c:ptCount val="42"/>
                <c:pt idx="0">
                  <c:v>49.2</c:v>
                </c:pt>
                <c:pt idx="1">
                  <c:v>5.3</c:v>
                </c:pt>
                <c:pt idx="2">
                  <c:v>263</c:v>
                </c:pt>
                <c:pt idx="3">
                  <c:v>40.6</c:v>
                </c:pt>
                <c:pt idx="4">
                  <c:v>0.1</c:v>
                </c:pt>
                <c:pt idx="5">
                  <c:v>15.3</c:v>
                </c:pt>
                <c:pt idx="6">
                  <c:v>334</c:v>
                </c:pt>
                <c:pt idx="7">
                  <c:v>6.3</c:v>
                </c:pt>
                <c:pt idx="8">
                  <c:v>55.9</c:v>
                </c:pt>
                <c:pt idx="9">
                  <c:v>93.3</c:v>
                </c:pt>
                <c:pt idx="10">
                  <c:v>22.2</c:v>
                </c:pt>
                <c:pt idx="11">
                  <c:v>11.5</c:v>
                </c:pt>
                <c:pt idx="12">
                  <c:v>234.5</c:v>
                </c:pt>
                <c:pt idx="13">
                  <c:v>153.4</c:v>
                </c:pt>
                <c:pt idx="14">
                  <c:v>3.1</c:v>
                </c:pt>
                <c:pt idx="15">
                  <c:v>202.4</c:v>
                </c:pt>
                <c:pt idx="16">
                  <c:v>37.300000000000004</c:v>
                </c:pt>
                <c:pt idx="17">
                  <c:v>36.4</c:v>
                </c:pt>
                <c:pt idx="18">
                  <c:v>11.8</c:v>
                </c:pt>
                <c:pt idx="19">
                  <c:v>19.399999999999999</c:v>
                </c:pt>
                <c:pt idx="20">
                  <c:v>52.6</c:v>
                </c:pt>
                <c:pt idx="21">
                  <c:v>11.2</c:v>
                </c:pt>
                <c:pt idx="22">
                  <c:v>412.5</c:v>
                </c:pt>
                <c:pt idx="23">
                  <c:v>50.6</c:v>
                </c:pt>
                <c:pt idx="24">
                  <c:v>3.9</c:v>
                </c:pt>
                <c:pt idx="25">
                  <c:v>29.2</c:v>
                </c:pt>
                <c:pt idx="26">
                  <c:v>48.9</c:v>
                </c:pt>
                <c:pt idx="27">
                  <c:v>268.60000000000002</c:v>
                </c:pt>
                <c:pt idx="28">
                  <c:v>82.5</c:v>
                </c:pt>
                <c:pt idx="29">
                  <c:v>20</c:v>
                </c:pt>
                <c:pt idx="30">
                  <c:v>336.3</c:v>
                </c:pt>
                <c:pt idx="31">
                  <c:v>1.9000000000000001</c:v>
                </c:pt>
                <c:pt idx="32">
                  <c:v>84.1</c:v>
                </c:pt>
                <c:pt idx="33">
                  <c:v>6.9</c:v>
                </c:pt>
                <c:pt idx="34">
                  <c:v>224</c:v>
                </c:pt>
                <c:pt idx="35">
                  <c:v>6.3</c:v>
                </c:pt>
                <c:pt idx="36">
                  <c:v>13.8</c:v>
                </c:pt>
                <c:pt idx="37">
                  <c:v>117.2</c:v>
                </c:pt>
                <c:pt idx="38">
                  <c:v>14.8</c:v>
                </c:pt>
                <c:pt idx="39">
                  <c:v>156.69999999999999</c:v>
                </c:pt>
                <c:pt idx="40">
                  <c:v>11.9</c:v>
                </c:pt>
                <c:pt idx="41">
                  <c:v>82.5</c:v>
                </c:pt>
              </c:numCache>
            </c:numRef>
          </c:xVal>
          <c:yVal>
            <c:numRef>
              <c:f>Sheet1!$B$100:$B$141</c:f>
              <c:numCache>
                <c:formatCode>General</c:formatCode>
                <c:ptCount val="42"/>
                <c:pt idx="0">
                  <c:v>3</c:v>
                </c:pt>
                <c:pt idx="1">
                  <c:v>4.5999999999999996</c:v>
                </c:pt>
                <c:pt idx="2">
                  <c:v>4.4000000000000004</c:v>
                </c:pt>
                <c:pt idx="3">
                  <c:v>3.6</c:v>
                </c:pt>
                <c:pt idx="4">
                  <c:v>3.6</c:v>
                </c:pt>
                <c:pt idx="5">
                  <c:v>3.4</c:v>
                </c:pt>
                <c:pt idx="6">
                  <c:v>6.8</c:v>
                </c:pt>
                <c:pt idx="7">
                  <c:v>3.5</c:v>
                </c:pt>
                <c:pt idx="8">
                  <c:v>0.1</c:v>
                </c:pt>
                <c:pt idx="9">
                  <c:v>-1.2</c:v>
                </c:pt>
                <c:pt idx="10">
                  <c:v>6.2</c:v>
                </c:pt>
                <c:pt idx="11">
                  <c:v>1.6</c:v>
                </c:pt>
                <c:pt idx="12">
                  <c:v>2.6</c:v>
                </c:pt>
                <c:pt idx="13">
                  <c:v>7.1</c:v>
                </c:pt>
                <c:pt idx="14">
                  <c:v>11.1</c:v>
                </c:pt>
                <c:pt idx="15">
                  <c:v>5.6</c:v>
                </c:pt>
                <c:pt idx="16">
                  <c:v>6.3</c:v>
                </c:pt>
                <c:pt idx="17">
                  <c:v>6.5</c:v>
                </c:pt>
                <c:pt idx="18">
                  <c:v>1.8</c:v>
                </c:pt>
                <c:pt idx="19">
                  <c:v>7</c:v>
                </c:pt>
                <c:pt idx="20">
                  <c:v>5.0999999999999996</c:v>
                </c:pt>
                <c:pt idx="21">
                  <c:v>9.5</c:v>
                </c:pt>
                <c:pt idx="22">
                  <c:v>5.6</c:v>
                </c:pt>
                <c:pt idx="23">
                  <c:v>6.2</c:v>
                </c:pt>
                <c:pt idx="24">
                  <c:v>7.4</c:v>
                </c:pt>
                <c:pt idx="25">
                  <c:v>4.3</c:v>
                </c:pt>
                <c:pt idx="26">
                  <c:v>0.9</c:v>
                </c:pt>
                <c:pt idx="27">
                  <c:v>5.4</c:v>
                </c:pt>
                <c:pt idx="28">
                  <c:v>11.9</c:v>
                </c:pt>
                <c:pt idx="29">
                  <c:v>7</c:v>
                </c:pt>
                <c:pt idx="30">
                  <c:v>4.0999999999999996</c:v>
                </c:pt>
                <c:pt idx="31">
                  <c:v>3.3</c:v>
                </c:pt>
                <c:pt idx="32">
                  <c:v>6.2</c:v>
                </c:pt>
                <c:pt idx="33">
                  <c:v>7.9</c:v>
                </c:pt>
                <c:pt idx="34">
                  <c:v>6</c:v>
                </c:pt>
                <c:pt idx="35">
                  <c:v>4.8</c:v>
                </c:pt>
                <c:pt idx="36">
                  <c:v>6.4</c:v>
                </c:pt>
                <c:pt idx="37">
                  <c:v>5.0999999999999996</c:v>
                </c:pt>
                <c:pt idx="38">
                  <c:v>7.1</c:v>
                </c:pt>
                <c:pt idx="39">
                  <c:v>6.3</c:v>
                </c:pt>
                <c:pt idx="40">
                  <c:v>8.6</c:v>
                </c:pt>
                <c:pt idx="41">
                  <c:v>6.2</c:v>
                </c:pt>
              </c:numCache>
            </c:numRef>
          </c:yVal>
        </c:ser>
        <c:axId val="103103872"/>
        <c:axId val="103134720"/>
      </c:scatterChart>
      <c:valAx>
        <c:axId val="1031038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FDI Inflow per capita (millions of US $)</a:t>
                </a:r>
              </a:p>
            </c:rich>
          </c:tx>
        </c:title>
        <c:numFmt formatCode="General" sourceLinked="1"/>
        <c:tickLblPos val="nextTo"/>
        <c:crossAx val="103134720"/>
        <c:crosses val="autoZero"/>
        <c:crossBetween val="midCat"/>
      </c:valAx>
      <c:valAx>
        <c:axId val="103134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Real GDP (% growth)</a:t>
                </a:r>
              </a:p>
            </c:rich>
          </c:tx>
        </c:title>
        <c:numFmt formatCode="General" sourceLinked="1"/>
        <c:tickLblPos val="nextTo"/>
        <c:crossAx val="10310387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2012-07-05T12:30:00Z</dcterms:created>
  <dcterms:modified xsi:type="dcterms:W3CDTF">2012-07-05T12:31:00Z</dcterms:modified>
</cp:coreProperties>
</file>